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CC5AAD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Слободиной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Людмиле Петровне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CC5AAD" w:rsidRPr="00CC5AAD">
        <w:t>47:14:1113002:36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CC5AA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</w:t>
      </w:r>
      <w:r w:rsidR="00CC5AAD" w:rsidRPr="00CC5AAD">
        <w:rPr>
          <w:rFonts w:ascii="Times New Roman" w:hAnsi="Times New Roman" w:cs="Times New Roman"/>
          <w:color w:val="000000"/>
          <w:sz w:val="24"/>
          <w:szCs w:val="28"/>
        </w:rPr>
        <w:t>47:14:1113002:36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C5AAD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CC5AAD">
        <w:rPr>
          <w:rFonts w:ascii="Times New Roman" w:hAnsi="Times New Roman" w:cs="Times New Roman"/>
          <w:color w:val="000000"/>
          <w:sz w:val="24"/>
          <w:szCs w:val="28"/>
        </w:rPr>
        <w:t>Слободина</w:t>
      </w:r>
      <w:proofErr w:type="spellEnd"/>
      <w:r w:rsidR="00CC5AAD">
        <w:rPr>
          <w:rFonts w:ascii="Times New Roman" w:hAnsi="Times New Roman" w:cs="Times New Roman"/>
          <w:color w:val="000000"/>
          <w:sz w:val="24"/>
          <w:szCs w:val="28"/>
        </w:rPr>
        <w:t xml:space="preserve"> Людмила Петровна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proofErr w:type="spellStart"/>
      <w:r w:rsidR="00CC5AAD">
        <w:rPr>
          <w:rFonts w:ascii="Times New Roman" w:hAnsi="Times New Roman" w:cs="Times New Roman"/>
          <w:color w:val="000000"/>
          <w:sz w:val="24"/>
          <w:szCs w:val="28"/>
        </w:rPr>
        <w:t>Слободиной</w:t>
      </w:r>
      <w:proofErr w:type="spellEnd"/>
      <w:r w:rsidR="00CC5AAD">
        <w:rPr>
          <w:rFonts w:ascii="Times New Roman" w:hAnsi="Times New Roman" w:cs="Times New Roman"/>
          <w:color w:val="000000"/>
          <w:sz w:val="24"/>
          <w:szCs w:val="28"/>
        </w:rPr>
        <w:t xml:space="preserve"> Людмилы Петровны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 xml:space="preserve">о правообладателе земельного участка с кадастровым номером </w:t>
      </w:r>
      <w:r w:rsidR="00CC5AAD" w:rsidRPr="00CC5AAD">
        <w:rPr>
          <w:rFonts w:ascii="Times New Roman" w:hAnsi="Times New Roman" w:cs="Times New Roman"/>
          <w:iCs/>
          <w:sz w:val="24"/>
          <w:szCs w:val="28"/>
        </w:rPr>
        <w:t>47:14:1113002:36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3453FE"/>
    <w:rsid w:val="00AD67BD"/>
    <w:rsid w:val="00B2224D"/>
    <w:rsid w:val="00CC5AAD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2024-02-01T07:43:00Z</dcterms:created>
  <dcterms:modified xsi:type="dcterms:W3CDTF">2024-02-01T07:43:00Z</dcterms:modified>
</cp:coreProperties>
</file>