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480737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Хвостовой Надежде Геннадьевне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480737">
        <w:t>0251004:93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480737" w:rsidRPr="00480737">
        <w:rPr>
          <w:rFonts w:ascii="Times New Roman" w:hAnsi="Times New Roman" w:cs="Times New Roman"/>
          <w:color w:val="000000"/>
          <w:sz w:val="24"/>
          <w:szCs w:val="24"/>
        </w:rPr>
        <w:t>47:14:0251004:93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737">
        <w:rPr>
          <w:rFonts w:ascii="Times New Roman" w:hAnsi="Times New Roman" w:cs="Times New Roman"/>
          <w:color w:val="000000"/>
          <w:sz w:val="24"/>
          <w:szCs w:val="24"/>
        </w:rPr>
        <w:t>Хвостова</w:t>
      </w:r>
      <w:proofErr w:type="spellEnd"/>
      <w:r w:rsidR="00480737">
        <w:rPr>
          <w:rFonts w:ascii="Times New Roman" w:hAnsi="Times New Roman" w:cs="Times New Roman"/>
          <w:color w:val="000000"/>
          <w:sz w:val="24"/>
          <w:szCs w:val="24"/>
        </w:rPr>
        <w:t xml:space="preserve"> Надежда Геннадьевна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480737">
        <w:rPr>
          <w:rFonts w:ascii="Times New Roman" w:hAnsi="Times New Roman" w:cs="Times New Roman"/>
          <w:color w:val="000000"/>
          <w:sz w:val="24"/>
          <w:szCs w:val="24"/>
        </w:rPr>
        <w:t>Хвостовой Надежды Геннадьевны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0737" w:rsidRPr="00480737">
        <w:rPr>
          <w:rFonts w:ascii="Times New Roman" w:hAnsi="Times New Roman" w:cs="Times New Roman"/>
          <w:iCs/>
          <w:sz w:val="24"/>
          <w:szCs w:val="24"/>
        </w:rPr>
        <w:t>47:14:0251004:93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1C4113"/>
    <w:rsid w:val="00257417"/>
    <w:rsid w:val="002D4485"/>
    <w:rsid w:val="0037664D"/>
    <w:rsid w:val="00480737"/>
    <w:rsid w:val="005F1574"/>
    <w:rsid w:val="00850504"/>
    <w:rsid w:val="009153DB"/>
    <w:rsid w:val="00A6069F"/>
    <w:rsid w:val="00B013BF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3</cp:revision>
  <dcterms:created xsi:type="dcterms:W3CDTF">2024-02-20T12:02:00Z</dcterms:created>
  <dcterms:modified xsi:type="dcterms:W3CDTF">2024-03-05T06:07:00Z</dcterms:modified>
</cp:coreProperties>
</file>